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5DA0" w14:textId="77777777" w:rsidR="00D3097B" w:rsidRPr="00D5743E" w:rsidRDefault="00D3097B" w:rsidP="000A35E5">
      <w:pPr>
        <w:pStyle w:val="Heading2"/>
        <w:numPr>
          <w:ilvl w:val="0"/>
          <w:numId w:val="5"/>
        </w:numPr>
      </w:pPr>
      <w:r w:rsidRPr="00D5743E">
        <w:t>Purpose and context</w:t>
      </w:r>
    </w:p>
    <w:p w14:paraId="42E99A9E" w14:textId="10EBFA2E" w:rsidR="00F47044" w:rsidRDefault="005C6DA9" w:rsidP="005C6DA9">
      <w:r w:rsidRPr="005C6DA9">
        <w:rPr>
          <w:highlight w:val="yellow"/>
        </w:rPr>
        <w:t>[RTO name]</w:t>
      </w:r>
      <w:r>
        <w:t xml:space="preserve"> </w:t>
      </w:r>
      <w:r w:rsidR="00D3097B" w:rsidRPr="00397E55">
        <w:t xml:space="preserve">are </w:t>
      </w:r>
      <w:r w:rsidR="00F47044" w:rsidRPr="00F47044">
        <w:t xml:space="preserve">committed to providing high-quality training and education services to our valued students. We understand that there may be instances when you need to seek a refund for your course fees. This Refund Policy and Procedure outlines the circumstances under which a refund may be </w:t>
      </w:r>
      <w:r w:rsidR="008D3908" w:rsidRPr="00F47044">
        <w:t>granted,</w:t>
      </w:r>
      <w:r w:rsidR="00F47044" w:rsidRPr="00F47044">
        <w:t xml:space="preserve"> and the steps involved in processing such requests.</w:t>
      </w:r>
    </w:p>
    <w:p w14:paraId="1B7F8F54" w14:textId="16DD79FD" w:rsidR="005C6DA9" w:rsidRPr="00217A3C" w:rsidRDefault="00D3097B" w:rsidP="005C6DA9">
      <w:r w:rsidRPr="00397E55">
        <w:t xml:space="preserve">The intent of this policy is to </w:t>
      </w:r>
      <w:r w:rsidR="0063638A">
        <w:t>provide clear and fair criteria and processes for granting refunds. We aim to manage refund requests in a transparent, fair, and timely manner</w:t>
      </w:r>
      <w:r w:rsidR="005C6DA9">
        <w:t>, ensuring the financial rights of our students are respected.</w:t>
      </w:r>
    </w:p>
    <w:p w14:paraId="0648105F" w14:textId="77777777" w:rsidR="000A35E5" w:rsidRDefault="000A35E5" w:rsidP="00D3097B"/>
    <w:p w14:paraId="05F99487" w14:textId="3089580E" w:rsidR="000A35E5" w:rsidRPr="004220F7" w:rsidRDefault="000A35E5" w:rsidP="000A35E5">
      <w:pPr>
        <w:pStyle w:val="Heading2"/>
        <w:numPr>
          <w:ilvl w:val="0"/>
          <w:numId w:val="5"/>
        </w:numPr>
      </w:pPr>
      <w:r w:rsidRPr="004220F7">
        <w:t>Legal and Regulatory Background</w:t>
      </w:r>
    </w:p>
    <w:p w14:paraId="52C3A541" w14:textId="7CBD1B3F" w:rsidR="000A35E5" w:rsidRDefault="000A35E5" w:rsidP="000A35E5">
      <w:pPr>
        <w:rPr>
          <w:highlight w:val="yellow"/>
          <w:lang w:val="en-AU"/>
        </w:rPr>
      </w:pPr>
      <w:r>
        <w:rPr>
          <w:lang w:val="en-AU"/>
        </w:rPr>
        <w:t>This policy has been developed to promote compliance with the following legal and regulatory requirements</w:t>
      </w:r>
      <w:r w:rsidR="00F54E69">
        <w:rPr>
          <w:lang w:val="en-AU"/>
        </w:rPr>
        <w:t>.</w:t>
      </w: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D3097B" w14:paraId="3435C9A1" w14:textId="77777777" w:rsidTr="00D63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F2F2F2" w:themeFill="background1" w:themeFillShade="F2"/>
          </w:tcPr>
          <w:p w14:paraId="43C9C8B0" w14:textId="20DB02E7" w:rsidR="00D3097B" w:rsidRDefault="00D3097B" w:rsidP="00D636B8">
            <w:r>
              <w:t xml:space="preserve">Name of </w:t>
            </w:r>
            <w:r w:rsidR="00F54E69">
              <w:t>requirement</w:t>
            </w:r>
          </w:p>
        </w:tc>
        <w:tc>
          <w:tcPr>
            <w:tcW w:w="3067" w:type="dxa"/>
            <w:shd w:val="clear" w:color="auto" w:fill="F2F2F2" w:themeFill="background1" w:themeFillShade="F2"/>
          </w:tcPr>
          <w:p w14:paraId="2F24DCC2" w14:textId="77777777" w:rsidR="00D3097B" w:rsidRDefault="00D3097B" w:rsidP="00D636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Standard / Clause reference</w:t>
            </w:r>
          </w:p>
        </w:tc>
      </w:tr>
      <w:tr w:rsidR="00D3097B" w:rsidRPr="00EB4762" w14:paraId="7C8F5570" w14:textId="77777777" w:rsidTr="00D636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E850673" w14:textId="77777777" w:rsidR="00D3097B" w:rsidRPr="00EB4762" w:rsidRDefault="00D3097B" w:rsidP="00D636B8">
            <w:pPr>
              <w:rPr>
                <w:b w:val="0"/>
                <w:bCs w:val="0"/>
              </w:rPr>
            </w:pPr>
            <w:r w:rsidRPr="00EB4762">
              <w:rPr>
                <w:b w:val="0"/>
                <w:bCs w:val="0"/>
              </w:rPr>
              <w:t xml:space="preserve">Standards for Registered Training Organisations (RTOs) 2015 </w:t>
            </w:r>
          </w:p>
        </w:tc>
        <w:tc>
          <w:tcPr>
            <w:tcW w:w="3067" w:type="dxa"/>
          </w:tcPr>
          <w:p w14:paraId="20551EE7" w14:textId="15FE42E4" w:rsidR="00D3097B" w:rsidRPr="00EB4762" w:rsidRDefault="004F3FE8" w:rsidP="00D636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762">
              <w:t>7.3</w:t>
            </w:r>
          </w:p>
        </w:tc>
      </w:tr>
      <w:tr w:rsidR="00D3097B" w:rsidRPr="00EB4762" w14:paraId="370BB9C1" w14:textId="77777777" w:rsidTr="00D636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21CD9B81" w14:textId="77777777" w:rsidR="00D3097B" w:rsidRPr="00EB4762" w:rsidRDefault="00D3097B" w:rsidP="00D636B8">
            <w:pPr>
              <w:rPr>
                <w:b w:val="0"/>
                <w:bCs w:val="0"/>
              </w:rPr>
            </w:pPr>
            <w:r w:rsidRPr="00EB4762">
              <w:rPr>
                <w:b w:val="0"/>
                <w:bCs w:val="0"/>
              </w:rPr>
              <w:t>National Code of Practice for Providers of Education and Training to Overseas Students 2018</w:t>
            </w:r>
          </w:p>
        </w:tc>
        <w:tc>
          <w:tcPr>
            <w:tcW w:w="3067" w:type="dxa"/>
          </w:tcPr>
          <w:p w14:paraId="67D37A67" w14:textId="0D967B6C" w:rsidR="00D3097B" w:rsidRPr="00EB4762" w:rsidRDefault="00631367" w:rsidP="00D636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762">
              <w:t>2, 3</w:t>
            </w:r>
          </w:p>
        </w:tc>
      </w:tr>
      <w:tr w:rsidR="00D3097B" w14:paraId="486C566A" w14:textId="77777777" w:rsidTr="00D636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57E1F003" w14:textId="68240D66" w:rsidR="00D3097B" w:rsidRPr="00EB4762" w:rsidRDefault="007D125B" w:rsidP="00D636B8">
            <w:pPr>
              <w:rPr>
                <w:b w:val="0"/>
                <w:bCs w:val="0"/>
              </w:rPr>
            </w:pPr>
            <w:r w:rsidRPr="00EB4762">
              <w:rPr>
                <w:b w:val="0"/>
                <w:bCs w:val="0"/>
              </w:rPr>
              <w:t>Australian Consumer Law</w:t>
            </w:r>
          </w:p>
        </w:tc>
        <w:tc>
          <w:tcPr>
            <w:tcW w:w="3067" w:type="dxa"/>
          </w:tcPr>
          <w:p w14:paraId="11C18732" w14:textId="3B03828A" w:rsidR="00D3097B" w:rsidRPr="00EB4762" w:rsidRDefault="007D125B" w:rsidP="00D636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762">
              <w:t>All</w:t>
            </w:r>
          </w:p>
        </w:tc>
      </w:tr>
    </w:tbl>
    <w:p w14:paraId="7F3C04C2" w14:textId="77777777" w:rsidR="00D3097B" w:rsidRDefault="00D3097B" w:rsidP="00D3097B"/>
    <w:p w14:paraId="3C8F8807" w14:textId="3420CFF4" w:rsidR="00D3097B" w:rsidRDefault="00D3097B" w:rsidP="00D3097B">
      <w:r>
        <w:t>Important terms used in this policy</w:t>
      </w:r>
      <w:r w:rsidR="00BE4D42">
        <w:t>:</w:t>
      </w: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3097B" w14:paraId="7940DA89" w14:textId="77777777" w:rsidTr="00BE4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2F2F2" w:themeFill="background1" w:themeFillShade="F2"/>
          </w:tcPr>
          <w:p w14:paraId="696250A1" w14:textId="77777777" w:rsidR="00D3097B" w:rsidRDefault="00D3097B" w:rsidP="00D636B8">
            <w:r>
              <w:t>Term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7BBC1364" w14:textId="77777777" w:rsidR="00D3097B" w:rsidRDefault="00D3097B" w:rsidP="00D636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Definition</w:t>
            </w:r>
          </w:p>
        </w:tc>
      </w:tr>
      <w:tr w:rsidR="00D3097B" w14:paraId="31CF9EB0" w14:textId="77777777" w:rsidTr="00BE4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80CB9AC" w14:textId="57A71E2C" w:rsidR="00D3097B" w:rsidRDefault="0054015D" w:rsidP="00D636B8">
            <w:r>
              <w:t>Refund</w:t>
            </w:r>
          </w:p>
        </w:tc>
        <w:tc>
          <w:tcPr>
            <w:tcW w:w="6044" w:type="dxa"/>
          </w:tcPr>
          <w:p w14:paraId="2B3BD7B9" w14:textId="413D6DED" w:rsidR="00D3097B" w:rsidRPr="008D26E0" w:rsidRDefault="0054015D" w:rsidP="00540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t>A sum of money paid back to a student under certain circumstances described within this policy.</w:t>
            </w:r>
          </w:p>
        </w:tc>
      </w:tr>
    </w:tbl>
    <w:p w14:paraId="729BC3D9" w14:textId="77777777" w:rsidR="00D3097B" w:rsidRDefault="00D3097B" w:rsidP="00D3097B"/>
    <w:p w14:paraId="5CB55271" w14:textId="77777777" w:rsidR="00D3097B" w:rsidRDefault="00D3097B" w:rsidP="00D3097B">
      <w:pPr>
        <w:pStyle w:val="Heading2"/>
        <w:numPr>
          <w:ilvl w:val="0"/>
          <w:numId w:val="5"/>
        </w:numPr>
      </w:pPr>
      <w:r>
        <w:t>Policy</w:t>
      </w:r>
    </w:p>
    <w:p w14:paraId="47661F13" w14:textId="77777777" w:rsidR="00BF175A" w:rsidRDefault="00BF175A" w:rsidP="00BF175A">
      <w:r>
        <w:t>Cancellation by Our RTO: Full refunds will be provided if a course is cancelled, or significantly rescheduled, by our RTO.</w:t>
      </w:r>
    </w:p>
    <w:p w14:paraId="33C2FD29" w14:textId="77777777" w:rsidR="00BF175A" w:rsidRDefault="00BF175A" w:rsidP="00BF175A">
      <w:r>
        <w:t>Withdrawal by the Student: If a student withdraws from a course before the commencement date, they may be eligible for a full or partial refund, depending on the notice given. If the student withdraws after the course has commenced, a refund may not be available.</w:t>
      </w:r>
    </w:p>
    <w:p w14:paraId="5A76DEE4" w14:textId="77777777" w:rsidR="00BF175A" w:rsidRDefault="00BF175A" w:rsidP="00BF175A">
      <w:r>
        <w:t>Exceptional Circumstances: In the case of exceptional circumstances such as severe illness or hardship, a partial or full refund may be granted at the discretion of our RTO.</w:t>
      </w:r>
    </w:p>
    <w:p w14:paraId="1D51B83B" w14:textId="77777777" w:rsidR="00BF175A" w:rsidRDefault="00BF175A" w:rsidP="00BF175A">
      <w:r>
        <w:t>Application for Refund: To apply for a refund, students must submit a written request outlining the reasons for the refund. This request will be assessed, and students will be notified of the outcome within 14 working days.</w:t>
      </w:r>
    </w:p>
    <w:p w14:paraId="1FF4E94D" w14:textId="63157C62" w:rsidR="0027466C" w:rsidRDefault="00BF175A" w:rsidP="00BF175A">
      <w:r>
        <w:lastRenderedPageBreak/>
        <w:t>Unsuccessful Applications: If a refund application is unsuccessful, the student will be given a reason for the decision and information about how to appeal if they are not satisfied with the outcome.</w:t>
      </w:r>
    </w:p>
    <w:p w14:paraId="3ED070CD" w14:textId="4955F254" w:rsidR="001C6A40" w:rsidRDefault="001C6A40" w:rsidP="001C6A40">
      <w:r>
        <w:t>A student is eligible for a refund if:</w:t>
      </w:r>
    </w:p>
    <w:p w14:paraId="5D8441C9" w14:textId="04594FA5" w:rsidR="001C6A40" w:rsidRDefault="001C6A40" w:rsidP="001C6A40">
      <w:pPr>
        <w:pStyle w:val="ListParagraph"/>
        <w:numPr>
          <w:ilvl w:val="0"/>
          <w:numId w:val="8"/>
        </w:numPr>
      </w:pPr>
      <w:r>
        <w:t>We cancel the course before it commences.</w:t>
      </w:r>
    </w:p>
    <w:p w14:paraId="77E32D9A" w14:textId="77777777" w:rsidR="00750FDC" w:rsidRDefault="00750FDC" w:rsidP="00750FDC">
      <w:pPr>
        <w:pStyle w:val="ListParagraph"/>
        <w:numPr>
          <w:ilvl w:val="0"/>
          <w:numId w:val="8"/>
        </w:numPr>
      </w:pPr>
      <w:r>
        <w:t>The student withdraws from the course before it commences, and at least five business days' notice is given in writing.</w:t>
      </w:r>
    </w:p>
    <w:p w14:paraId="615962E1" w14:textId="77777777" w:rsidR="00750FDC" w:rsidRDefault="00750FDC" w:rsidP="00750FDC">
      <w:pPr>
        <w:pStyle w:val="ListParagraph"/>
        <w:numPr>
          <w:ilvl w:val="0"/>
          <w:numId w:val="8"/>
        </w:numPr>
      </w:pPr>
      <w:r>
        <w:t>The student withdraws from the course after it has commenced due to exceptional circumstances, which will be assessed on a case-by-case basis.</w:t>
      </w:r>
    </w:p>
    <w:p w14:paraId="4DACA9AF" w14:textId="038B50DA" w:rsidR="00750FDC" w:rsidRDefault="00750FDC" w:rsidP="00750FDC">
      <w:r>
        <w:t>A student is eligible for a partial refund if:</w:t>
      </w:r>
    </w:p>
    <w:p w14:paraId="35DCA9A4" w14:textId="12A9696E" w:rsidR="001C6A40" w:rsidRDefault="00B32F76" w:rsidP="001C6A40">
      <w:pPr>
        <w:pStyle w:val="ListParagraph"/>
        <w:numPr>
          <w:ilvl w:val="0"/>
          <w:numId w:val="8"/>
        </w:numPr>
      </w:pPr>
      <w:r>
        <w:t xml:space="preserve">We discontinue </w:t>
      </w:r>
      <w:r w:rsidR="001C6A40">
        <w:t>the course after it has commenced.</w:t>
      </w:r>
    </w:p>
    <w:p w14:paraId="5AA47993" w14:textId="511309E6" w:rsidR="00750FDC" w:rsidRDefault="00750FDC" w:rsidP="001C6A40">
      <w:pPr>
        <w:pStyle w:val="ListParagraph"/>
        <w:numPr>
          <w:ilvl w:val="0"/>
          <w:numId w:val="8"/>
        </w:numPr>
      </w:pPr>
      <w:r>
        <w:t xml:space="preserve">They withdraw from the course </w:t>
      </w:r>
      <w:r w:rsidR="001F2E48">
        <w:t>after commencement and have completed less than 80% of the course.</w:t>
      </w:r>
    </w:p>
    <w:p w14:paraId="79172497" w14:textId="356CE019" w:rsidR="001C6A40" w:rsidRDefault="00B32F76" w:rsidP="001C6A40">
      <w:r>
        <w:t xml:space="preserve">A </w:t>
      </w:r>
      <w:r w:rsidR="001C6A40">
        <w:t>student is not eligible for a refund if:</w:t>
      </w:r>
    </w:p>
    <w:p w14:paraId="07E3AADF" w14:textId="4DB35630" w:rsidR="001C6A40" w:rsidRDefault="001C6A40" w:rsidP="00B32F76">
      <w:pPr>
        <w:pStyle w:val="ListParagraph"/>
        <w:numPr>
          <w:ilvl w:val="0"/>
          <w:numId w:val="10"/>
        </w:numPr>
      </w:pPr>
      <w:r>
        <w:t xml:space="preserve">The student withdraws from the course after it has commenced and has completed more than </w:t>
      </w:r>
      <w:r w:rsidR="001F2E48">
        <w:t>8</w:t>
      </w:r>
      <w:r>
        <w:t>0% of the course.</w:t>
      </w:r>
    </w:p>
    <w:p w14:paraId="7ECE3E44" w14:textId="7162159E" w:rsidR="001C6A40" w:rsidRDefault="001C6A40" w:rsidP="00B32F76">
      <w:pPr>
        <w:pStyle w:val="ListParagraph"/>
        <w:numPr>
          <w:ilvl w:val="0"/>
          <w:numId w:val="10"/>
        </w:numPr>
      </w:pPr>
      <w:r>
        <w:t xml:space="preserve">The student has breached </w:t>
      </w:r>
      <w:r w:rsidR="00B32F76">
        <w:t xml:space="preserve">our </w:t>
      </w:r>
      <w:r>
        <w:t>Code of Conduct or policies, leading to termination.</w:t>
      </w:r>
    </w:p>
    <w:p w14:paraId="168BDD8D" w14:textId="77777777" w:rsidR="00371588" w:rsidRDefault="00371588" w:rsidP="00371588"/>
    <w:p w14:paraId="65285FB6" w14:textId="77777777" w:rsidR="00D3097B" w:rsidRPr="008D26E0" w:rsidRDefault="00D3097B" w:rsidP="00D3097B">
      <w:pPr>
        <w:pStyle w:val="Heading2"/>
        <w:numPr>
          <w:ilvl w:val="0"/>
          <w:numId w:val="5"/>
        </w:numPr>
      </w:pPr>
      <w:r>
        <w:t>Procedure</w:t>
      </w:r>
    </w:p>
    <w:p w14:paraId="17A76778" w14:textId="544247AC" w:rsidR="00646D09" w:rsidRDefault="00646D09" w:rsidP="00646D09">
      <w:pPr>
        <w:pStyle w:val="ListParagraph"/>
        <w:numPr>
          <w:ilvl w:val="0"/>
          <w:numId w:val="4"/>
        </w:numPr>
      </w:pPr>
      <w:r>
        <w:t>Requesting a Refund:</w:t>
      </w:r>
    </w:p>
    <w:p w14:paraId="0C3931E6" w14:textId="370AAE78" w:rsidR="00646D09" w:rsidRDefault="00646D09" w:rsidP="001F2E48">
      <w:pPr>
        <w:pStyle w:val="ListParagraph"/>
        <w:numPr>
          <w:ilvl w:val="0"/>
          <w:numId w:val="15"/>
        </w:numPr>
      </w:pPr>
      <w:r>
        <w:t>To request a refund, the student must complete the 'Refund Request Form' available from the website</w:t>
      </w:r>
      <w:r w:rsidR="001F2E48">
        <w:t xml:space="preserve"> or our Student Support team</w:t>
      </w:r>
      <w:r>
        <w:t>.</w:t>
      </w:r>
    </w:p>
    <w:p w14:paraId="5FCED83C" w14:textId="36827400" w:rsidR="00646D09" w:rsidRDefault="00646D09" w:rsidP="001F2E48">
      <w:pPr>
        <w:pStyle w:val="ListParagraph"/>
        <w:numPr>
          <w:ilvl w:val="0"/>
          <w:numId w:val="15"/>
        </w:numPr>
      </w:pPr>
      <w:r>
        <w:t>The student must provide supporting documents (if applicable) for consideration, such as medical certificates, evidence of exceptional circumstances, or any other relevant documentation.</w:t>
      </w:r>
    </w:p>
    <w:p w14:paraId="4B7B5CBC" w14:textId="5AA61A0F" w:rsidR="00646D09" w:rsidRDefault="00646D09" w:rsidP="00646D09">
      <w:pPr>
        <w:pStyle w:val="ListParagraph"/>
        <w:numPr>
          <w:ilvl w:val="0"/>
          <w:numId w:val="4"/>
        </w:numPr>
      </w:pPr>
      <w:r>
        <w:t>Refund Processing:</w:t>
      </w:r>
    </w:p>
    <w:p w14:paraId="7BC61EA7" w14:textId="05516E6E" w:rsidR="00646D09" w:rsidRDefault="00646D09" w:rsidP="00646D09">
      <w:pPr>
        <w:pStyle w:val="ListParagraph"/>
        <w:numPr>
          <w:ilvl w:val="0"/>
          <w:numId w:val="12"/>
        </w:numPr>
      </w:pPr>
      <w:r>
        <w:t xml:space="preserve">Upon receiving a refund request, </w:t>
      </w:r>
      <w:r w:rsidR="001F2E48">
        <w:t>we</w:t>
      </w:r>
      <w:r>
        <w:t xml:space="preserve"> will review the application and supporting documentation (if any) within ten business days.</w:t>
      </w:r>
    </w:p>
    <w:p w14:paraId="2223AC6E" w14:textId="6AA10F1E" w:rsidR="00646D09" w:rsidRDefault="00646D09" w:rsidP="00646D09">
      <w:pPr>
        <w:pStyle w:val="ListParagraph"/>
        <w:numPr>
          <w:ilvl w:val="0"/>
          <w:numId w:val="12"/>
        </w:numPr>
      </w:pPr>
      <w:r>
        <w:t xml:space="preserve">If the refund is approved, </w:t>
      </w:r>
      <w:r w:rsidR="001F2E48">
        <w:t xml:space="preserve">we </w:t>
      </w:r>
      <w:r>
        <w:t>will process the refund within 20 business days of the approval date.</w:t>
      </w:r>
    </w:p>
    <w:p w14:paraId="46C8BEA5" w14:textId="3AB53D24" w:rsidR="00646D09" w:rsidRDefault="00646D09" w:rsidP="00646D09">
      <w:pPr>
        <w:pStyle w:val="ListParagraph"/>
        <w:numPr>
          <w:ilvl w:val="0"/>
          <w:numId w:val="12"/>
        </w:numPr>
      </w:pPr>
      <w:r>
        <w:t xml:space="preserve">Refunds will be made using the same payment method used during </w:t>
      </w:r>
      <w:r w:rsidR="006F706F">
        <w:t>enrolment</w:t>
      </w:r>
      <w:r>
        <w:t>, unless otherwise agreed upon.</w:t>
      </w:r>
    </w:p>
    <w:p w14:paraId="16C850D9" w14:textId="5399D7FC" w:rsidR="00646D09" w:rsidRDefault="00646D09" w:rsidP="00646D09">
      <w:pPr>
        <w:pStyle w:val="ListParagraph"/>
        <w:numPr>
          <w:ilvl w:val="0"/>
          <w:numId w:val="4"/>
        </w:numPr>
      </w:pPr>
      <w:r>
        <w:t>Partial Refunds:</w:t>
      </w:r>
    </w:p>
    <w:p w14:paraId="1DD246A9" w14:textId="13984E12" w:rsidR="00646D09" w:rsidRDefault="00646D09" w:rsidP="00646D09">
      <w:pPr>
        <w:pStyle w:val="ListParagraph"/>
        <w:numPr>
          <w:ilvl w:val="1"/>
          <w:numId w:val="4"/>
        </w:numPr>
      </w:pPr>
      <w:r>
        <w:t xml:space="preserve">If the student has completed </w:t>
      </w:r>
      <w:r w:rsidR="001F2E48">
        <w:t>less than 80</w:t>
      </w:r>
      <w:r>
        <w:t>% of the course and is eligible for a refund, a partial refund will be calculated based on the unutilized portion of the course.</w:t>
      </w:r>
    </w:p>
    <w:p w14:paraId="03358C50" w14:textId="5821994E" w:rsidR="00646D09" w:rsidRDefault="00646D09" w:rsidP="00646D09">
      <w:pPr>
        <w:pStyle w:val="ListParagraph"/>
        <w:numPr>
          <w:ilvl w:val="0"/>
          <w:numId w:val="4"/>
        </w:numPr>
      </w:pPr>
      <w:r>
        <w:t>Non-Commencement or Cancellation:</w:t>
      </w:r>
    </w:p>
    <w:p w14:paraId="385478AF" w14:textId="570A2072" w:rsidR="00646D09" w:rsidRDefault="00646D09" w:rsidP="00646D09">
      <w:pPr>
        <w:pStyle w:val="ListParagraph"/>
        <w:numPr>
          <w:ilvl w:val="1"/>
          <w:numId w:val="4"/>
        </w:numPr>
      </w:pPr>
      <w:r>
        <w:t xml:space="preserve">If </w:t>
      </w:r>
      <w:r w:rsidR="001F2E48">
        <w:t xml:space="preserve">we cancel </w:t>
      </w:r>
      <w:r>
        <w:t>the course before it commences, the student will receive a full refund of all fees paid.</w:t>
      </w:r>
    </w:p>
    <w:p w14:paraId="620B4133" w14:textId="2F07BE90" w:rsidR="00646D09" w:rsidRDefault="00646D09" w:rsidP="00646D09">
      <w:pPr>
        <w:pStyle w:val="ListParagraph"/>
        <w:numPr>
          <w:ilvl w:val="0"/>
          <w:numId w:val="4"/>
        </w:numPr>
      </w:pPr>
      <w:r>
        <w:lastRenderedPageBreak/>
        <w:t>Exceptional Circumstances:</w:t>
      </w:r>
    </w:p>
    <w:p w14:paraId="08B22C96" w14:textId="77777777" w:rsidR="001F2E48" w:rsidRDefault="00646D09" w:rsidP="00646D09">
      <w:pPr>
        <w:pStyle w:val="ListParagraph"/>
        <w:numPr>
          <w:ilvl w:val="0"/>
          <w:numId w:val="14"/>
        </w:numPr>
      </w:pPr>
      <w:r>
        <w:t xml:space="preserve">In cases of exceptional circumstances leading to withdrawal from the course after commencement, the student may be eligible for a refund or credit towards future courses. </w:t>
      </w:r>
    </w:p>
    <w:p w14:paraId="64D13CDB" w14:textId="3297E829" w:rsidR="00646D09" w:rsidRDefault="00646D09" w:rsidP="00646D09">
      <w:pPr>
        <w:pStyle w:val="ListParagraph"/>
        <w:numPr>
          <w:ilvl w:val="0"/>
          <w:numId w:val="14"/>
        </w:numPr>
      </w:pPr>
      <w:r>
        <w:t xml:space="preserve">Each situation will be assessed individually, and a decision will be made at </w:t>
      </w:r>
      <w:r w:rsidR="001F2E48">
        <w:t xml:space="preserve">the Finance Manager’s </w:t>
      </w:r>
      <w:r>
        <w:t>discretion.</w:t>
      </w:r>
    </w:p>
    <w:p w14:paraId="2D4C54CE" w14:textId="6FCCD545" w:rsidR="00646D09" w:rsidRDefault="00646D09" w:rsidP="00646D09">
      <w:pPr>
        <w:pStyle w:val="ListParagraph"/>
        <w:numPr>
          <w:ilvl w:val="0"/>
          <w:numId w:val="4"/>
        </w:numPr>
      </w:pPr>
      <w:r>
        <w:t>Communication of Refund Decisions:</w:t>
      </w:r>
    </w:p>
    <w:p w14:paraId="645E3F12" w14:textId="4FA29DF6" w:rsidR="00646D09" w:rsidRDefault="001F2E48" w:rsidP="00646D09">
      <w:pPr>
        <w:pStyle w:val="ListParagraph"/>
        <w:numPr>
          <w:ilvl w:val="1"/>
          <w:numId w:val="4"/>
        </w:numPr>
      </w:pPr>
      <w:r>
        <w:t xml:space="preserve">We </w:t>
      </w:r>
      <w:r w:rsidR="00646D09">
        <w:t>will communicate the decision regarding the refund request in writing to the student, providing reasons for approval or denial.</w:t>
      </w:r>
      <w:r w:rsidR="00D636B8">
        <w:t xml:space="preserve"> All documentation must be stored in th client file for future reference (invoices, receipts, refund requests, communication to and from learners).</w:t>
      </w:r>
    </w:p>
    <w:p w14:paraId="257E2636" w14:textId="073A576F" w:rsidR="00646D09" w:rsidRDefault="00646D09" w:rsidP="00646D09">
      <w:pPr>
        <w:pStyle w:val="ListParagraph"/>
        <w:numPr>
          <w:ilvl w:val="0"/>
          <w:numId w:val="4"/>
        </w:numPr>
      </w:pPr>
      <w:r>
        <w:t>Appeals Process:</w:t>
      </w:r>
    </w:p>
    <w:p w14:paraId="738C9977" w14:textId="7A9C65E1" w:rsidR="00646D09" w:rsidRPr="001F2E48" w:rsidRDefault="00646D09" w:rsidP="00646D09">
      <w:pPr>
        <w:pStyle w:val="ListParagraph"/>
        <w:numPr>
          <w:ilvl w:val="1"/>
          <w:numId w:val="4"/>
        </w:numPr>
      </w:pPr>
      <w:r w:rsidRPr="001F2E48">
        <w:t xml:space="preserve">If a student is dissatisfied with the refund decision, they have the right to appeal. The student must submit their appeal in writing to </w:t>
      </w:r>
      <w:r w:rsidR="001F2E48">
        <w:t xml:space="preserve">our Student Support team </w:t>
      </w:r>
      <w:r w:rsidRPr="001F2E48">
        <w:t>within ten business days of receiving the refund decision.</w:t>
      </w:r>
      <w:r w:rsidR="00F0101D">
        <w:t xml:space="preserve"> See </w:t>
      </w:r>
      <w:r w:rsidR="005F6999" w:rsidRPr="005F6999">
        <w:t>POL08 Complaints and appeals polic</w:t>
      </w:r>
      <w:r w:rsidR="00AB1E13">
        <w:t>y</w:t>
      </w:r>
      <w:r w:rsidR="00F0101D">
        <w:t xml:space="preserve"> for additional information about handling non-academic appeals.</w:t>
      </w:r>
    </w:p>
    <w:p w14:paraId="54F5CB24" w14:textId="3AF9A1C2" w:rsidR="00D3097B" w:rsidRPr="001F2E48" w:rsidRDefault="00646D09" w:rsidP="00646D09">
      <w:pPr>
        <w:pStyle w:val="ListParagraph"/>
        <w:numPr>
          <w:ilvl w:val="0"/>
          <w:numId w:val="4"/>
        </w:numPr>
      </w:pPr>
      <w:r w:rsidRPr="001F2E48">
        <w:t>We will review the appeal and respond within ten business days of receiving the appeal.</w:t>
      </w:r>
    </w:p>
    <w:p w14:paraId="71441F3F" w14:textId="0BA2098E" w:rsidR="000B7348" w:rsidRPr="001F2E48" w:rsidRDefault="000B7348" w:rsidP="000B7348">
      <w:pPr>
        <w:pStyle w:val="Heading2"/>
        <w:numPr>
          <w:ilvl w:val="0"/>
          <w:numId w:val="5"/>
        </w:numPr>
      </w:pPr>
      <w:r w:rsidRPr="001F2E48">
        <w:t>Responsibility</w:t>
      </w:r>
    </w:p>
    <w:p w14:paraId="069B583D" w14:textId="62615046" w:rsidR="00AB0255" w:rsidRDefault="00534E20">
      <w:r w:rsidRPr="001F2E48">
        <w:t xml:space="preserve">The </w:t>
      </w:r>
      <w:r w:rsidR="00303EB9">
        <w:t>Operations</w:t>
      </w:r>
      <w:r w:rsidRPr="001F2E48">
        <w:t xml:space="preserve"> Manager, or equivalent role, is responsible for the implementation of this policy and ensuring all refund requests are processed in accordance with this policy.</w:t>
      </w:r>
      <w:r w:rsidR="00AB0255">
        <w:br w:type="page"/>
      </w:r>
    </w:p>
    <w:p w14:paraId="5B5CD089" w14:textId="1066253E" w:rsidR="004F666E" w:rsidRDefault="004F666E" w:rsidP="00F22794">
      <w:pPr>
        <w:pStyle w:val="Heading2"/>
        <w:numPr>
          <w:ilvl w:val="0"/>
          <w:numId w:val="5"/>
        </w:numPr>
      </w:pPr>
      <w:r>
        <w:lastRenderedPageBreak/>
        <w:t>Associated Forms/Documents</w:t>
      </w:r>
    </w:p>
    <w:p w14:paraId="12B90DC9" w14:textId="77777777" w:rsidR="004F666E" w:rsidRPr="00052925" w:rsidRDefault="004F666E" w:rsidP="004F666E">
      <w:pPr>
        <w:ind w:left="360"/>
        <w:rPr>
          <w:b/>
          <w:bCs/>
        </w:rPr>
      </w:pPr>
      <w:r w:rsidRPr="00052925">
        <w:rPr>
          <w:b/>
          <w:bCs/>
        </w:rPr>
        <w:t>Forms:</w:t>
      </w:r>
    </w:p>
    <w:p w14:paraId="60528EB7" w14:textId="3A03222D" w:rsidR="004F666E" w:rsidRDefault="004F666E" w:rsidP="004F666E">
      <w:pPr>
        <w:pStyle w:val="ListParagraph"/>
        <w:numPr>
          <w:ilvl w:val="0"/>
          <w:numId w:val="0"/>
        </w:numPr>
        <w:ind w:left="720"/>
      </w:pPr>
      <w:r w:rsidRPr="004F666E">
        <w:rPr>
          <w:highlight w:val="yellow"/>
        </w:rPr>
        <w:t>POL</w:t>
      </w:r>
      <w:r w:rsidR="00FA4E40">
        <w:rPr>
          <w:highlight w:val="yellow"/>
        </w:rPr>
        <w:t>04</w:t>
      </w:r>
      <w:r w:rsidRPr="004F666E">
        <w:rPr>
          <w:highlight w:val="yellow"/>
        </w:rPr>
        <w:t>.F</w:t>
      </w:r>
      <w:r w:rsidR="00FA4E40">
        <w:rPr>
          <w:highlight w:val="yellow"/>
        </w:rPr>
        <w:t>1</w:t>
      </w:r>
      <w:r w:rsidRPr="004F666E">
        <w:rPr>
          <w:highlight w:val="yellow"/>
        </w:rPr>
        <w:t xml:space="preserve"> </w:t>
      </w:r>
      <w:r w:rsidR="00FA4E40">
        <w:t>Refund Request</w:t>
      </w:r>
    </w:p>
    <w:p w14:paraId="7C359FE2" w14:textId="370DD4DB" w:rsidR="004F666E" w:rsidRPr="00023235" w:rsidRDefault="004F666E" w:rsidP="004F666E">
      <w:pPr>
        <w:pStyle w:val="ListParagraph"/>
        <w:numPr>
          <w:ilvl w:val="0"/>
          <w:numId w:val="0"/>
        </w:numPr>
        <w:ind w:left="720"/>
      </w:pPr>
      <w:r>
        <w:t xml:space="preserve"> </w:t>
      </w:r>
    </w:p>
    <w:p w14:paraId="6B1BCE60" w14:textId="77777777" w:rsidR="00203703" w:rsidRDefault="00203703" w:rsidP="00203703">
      <w:pPr>
        <w:pStyle w:val="Heading3"/>
      </w:pPr>
      <w:r>
        <w:t>Version Control and Review</w:t>
      </w:r>
    </w:p>
    <w:p w14:paraId="7378B494" w14:textId="77777777" w:rsidR="005744AD" w:rsidRPr="00195C14" w:rsidRDefault="005744AD" w:rsidP="005744AD">
      <w:r>
        <w:t>This policy will be reviewed annually, or as needed, to ensure its ongoing relevance, effectiveness, and compliance with changing regulations or standards.</w:t>
      </w:r>
    </w:p>
    <w:tbl>
      <w:tblPr>
        <w:tblStyle w:val="GridTable2-Accent6"/>
        <w:tblW w:w="4986" w:type="pct"/>
        <w:tblLook w:val="04A0" w:firstRow="1" w:lastRow="0" w:firstColumn="1" w:lastColumn="0" w:noHBand="0" w:noVBand="1"/>
      </w:tblPr>
      <w:tblGrid>
        <w:gridCol w:w="1471"/>
        <w:gridCol w:w="1471"/>
        <w:gridCol w:w="3836"/>
        <w:gridCol w:w="2556"/>
      </w:tblGrid>
      <w:tr w:rsidR="00BE4D42" w14:paraId="272E9776" w14:textId="77777777" w:rsidTr="00BE4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</w:tcPr>
          <w:p w14:paraId="13BFAD4D" w14:textId="3E3B022E" w:rsidR="00BE4D42" w:rsidRDefault="00BE4D42" w:rsidP="00BE4D42">
            <w:r>
              <w:t>Version</w:t>
            </w:r>
          </w:p>
        </w:tc>
        <w:tc>
          <w:tcPr>
            <w:tcW w:w="788" w:type="pct"/>
          </w:tcPr>
          <w:p w14:paraId="58A7DA29" w14:textId="1E9D8F02" w:rsidR="00BE4D42" w:rsidRDefault="00BE4D42" w:rsidP="00BE4D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Created</w:t>
            </w:r>
          </w:p>
        </w:tc>
        <w:tc>
          <w:tcPr>
            <w:tcW w:w="2055" w:type="pct"/>
          </w:tcPr>
          <w:p w14:paraId="70F268CB" w14:textId="77777777" w:rsidR="00BE4D42" w:rsidRDefault="00BE4D42" w:rsidP="00BE4D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</w:t>
            </w:r>
          </w:p>
        </w:tc>
        <w:tc>
          <w:tcPr>
            <w:tcW w:w="1369" w:type="pct"/>
          </w:tcPr>
          <w:p w14:paraId="1EAB281D" w14:textId="77777777" w:rsidR="00BE4D42" w:rsidRDefault="00BE4D42" w:rsidP="00BE4D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Responsible Party</w:t>
            </w:r>
          </w:p>
        </w:tc>
      </w:tr>
      <w:tr w:rsidR="00BE4D42" w14:paraId="3797357B" w14:textId="77777777" w:rsidTr="00BE4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</w:tcPr>
          <w:p w14:paraId="5BDBD676" w14:textId="78CF7CF8" w:rsidR="00BE4D42" w:rsidRDefault="00BE4D42" w:rsidP="00BE4D42">
            <w:r>
              <w:t>0.1</w:t>
            </w:r>
          </w:p>
        </w:tc>
        <w:tc>
          <w:tcPr>
            <w:tcW w:w="788" w:type="pct"/>
          </w:tcPr>
          <w:p w14:paraId="417542D0" w14:textId="63C6C762" w:rsidR="00BE4D42" w:rsidRDefault="00BE4D42" w:rsidP="00BE4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July 2023</w:t>
            </w:r>
          </w:p>
        </w:tc>
        <w:tc>
          <w:tcPr>
            <w:tcW w:w="2055" w:type="pct"/>
          </w:tcPr>
          <w:p w14:paraId="37E7E0FD" w14:textId="77777777" w:rsidR="00BE4D42" w:rsidRDefault="00BE4D42" w:rsidP="00BE4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Draft Created</w:t>
            </w:r>
          </w:p>
        </w:tc>
        <w:tc>
          <w:tcPr>
            <w:tcW w:w="1369" w:type="pct"/>
          </w:tcPr>
          <w:p w14:paraId="55AF0D1F" w14:textId="77777777" w:rsidR="00BE4D42" w:rsidRDefault="00BE4D42" w:rsidP="00BE4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Blood and Bell</w:t>
            </w:r>
          </w:p>
        </w:tc>
      </w:tr>
      <w:tr w:rsidR="00BE4D42" w14:paraId="373ED75A" w14:textId="77777777" w:rsidTr="00BE4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</w:tcPr>
          <w:p w14:paraId="22DCECEB" w14:textId="77777777" w:rsidR="00BE4D42" w:rsidRDefault="00BE4D42" w:rsidP="00BE4D42"/>
        </w:tc>
        <w:tc>
          <w:tcPr>
            <w:tcW w:w="788" w:type="pct"/>
          </w:tcPr>
          <w:p w14:paraId="3EEB73A5" w14:textId="1DA01F49" w:rsidR="00BE4D42" w:rsidRDefault="00BE4D42" w:rsidP="00BE4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5" w:type="pct"/>
          </w:tcPr>
          <w:p w14:paraId="11F4AD04" w14:textId="77777777" w:rsidR="00BE4D42" w:rsidRDefault="00BE4D42" w:rsidP="00BE4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pct"/>
          </w:tcPr>
          <w:p w14:paraId="729E2002" w14:textId="77777777" w:rsidR="00BE4D42" w:rsidRDefault="00BE4D42" w:rsidP="00BE4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D85D75" w14:textId="77777777" w:rsidR="006E6B57" w:rsidRDefault="006E6B57" w:rsidP="006E6B57"/>
    <w:p w14:paraId="4D5D9491" w14:textId="77777777" w:rsidR="00594B3C" w:rsidRPr="00D3097B" w:rsidRDefault="00594B3C" w:rsidP="00D3097B"/>
    <w:sectPr w:rsidR="00594B3C" w:rsidRPr="00D3097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F854" w14:textId="77777777" w:rsidR="00192002" w:rsidRDefault="00192002" w:rsidP="002C59C5">
      <w:pPr>
        <w:spacing w:after="0" w:line="240" w:lineRule="auto"/>
      </w:pPr>
      <w:r>
        <w:separator/>
      </w:r>
    </w:p>
  </w:endnote>
  <w:endnote w:type="continuationSeparator" w:id="0">
    <w:p w14:paraId="1989F89C" w14:textId="77777777" w:rsidR="00192002" w:rsidRDefault="00192002" w:rsidP="002C59C5">
      <w:pPr>
        <w:spacing w:after="0" w:line="240" w:lineRule="auto"/>
      </w:pPr>
      <w:r>
        <w:continuationSeparator/>
      </w:r>
    </w:p>
  </w:endnote>
  <w:endnote w:type="continuationNotice" w:id="1">
    <w:p w14:paraId="22319A60" w14:textId="77777777" w:rsidR="00EC6ADF" w:rsidRDefault="00EC6A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FDC6" w14:textId="361FDA73" w:rsidR="0050641B" w:rsidRDefault="00CB427C" w:rsidP="0050641B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646D09">
      <w:rPr>
        <w:noProof/>
      </w:rPr>
      <w:t>POL04 Refunds policy V0.1 2023</w:t>
    </w:r>
    <w:r>
      <w:rPr>
        <w:noProof/>
      </w:rPr>
      <w:fldChar w:fldCharType="end"/>
    </w:r>
    <w:r w:rsidR="0050641B">
      <w:tab/>
    </w:r>
    <w:r w:rsidR="0050641B">
      <w:tab/>
      <w:t xml:space="preserve">Last reviewed: </w:t>
    </w:r>
    <w:r w:rsidR="00E072EF">
      <w:fldChar w:fldCharType="begin"/>
    </w:r>
    <w:r w:rsidR="00E072EF">
      <w:rPr>
        <w:lang w:val="en-AU"/>
      </w:rPr>
      <w:instrText xml:space="preserve"> DATE \@ "d/MM/yyyy" </w:instrText>
    </w:r>
    <w:r w:rsidR="00E072EF">
      <w:fldChar w:fldCharType="separate"/>
    </w:r>
    <w:r>
      <w:rPr>
        <w:noProof/>
        <w:lang w:val="en-AU"/>
      </w:rPr>
      <w:t>23/11/2023</w:t>
    </w:r>
    <w:r w:rsidR="00E072EF">
      <w:fldChar w:fldCharType="end"/>
    </w:r>
  </w:p>
  <w:p w14:paraId="35C0512C" w14:textId="16BD41F8" w:rsidR="0050641B" w:rsidRDefault="00DA28BB" w:rsidP="0050641B">
    <w:pPr>
      <w:pStyle w:val="Footer"/>
      <w:jc w:val="right"/>
    </w:pPr>
    <w:r>
      <w:tab/>
    </w:r>
    <w:r>
      <w:tab/>
    </w:r>
    <w:r w:rsidR="0050641B">
      <w:t xml:space="preserve">© Blood &amp; Bell 2023 </w:t>
    </w:r>
    <w:r w:rsidR="0050641B">
      <w:rPr>
        <w:noProof/>
      </w:rPr>
      <w:drawing>
        <wp:inline distT="0" distB="0" distL="0" distR="0" wp14:anchorId="2DF6E053" wp14:editId="730893BC">
          <wp:extent cx="443553" cy="143897"/>
          <wp:effectExtent l="0" t="0" r="0" b="8890"/>
          <wp:docPr id="1973324295" name="Picture 197332429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324295" name="Picture 5" descr="A black background with a black squa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833" cy="146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89BBC" w14:textId="77777777" w:rsidR="00192002" w:rsidRDefault="00192002" w:rsidP="002C59C5">
      <w:pPr>
        <w:spacing w:after="0" w:line="240" w:lineRule="auto"/>
      </w:pPr>
      <w:r>
        <w:separator/>
      </w:r>
    </w:p>
  </w:footnote>
  <w:footnote w:type="continuationSeparator" w:id="0">
    <w:p w14:paraId="3AD98793" w14:textId="77777777" w:rsidR="00192002" w:rsidRDefault="00192002" w:rsidP="002C59C5">
      <w:pPr>
        <w:spacing w:after="0" w:line="240" w:lineRule="auto"/>
      </w:pPr>
      <w:r>
        <w:continuationSeparator/>
      </w:r>
    </w:p>
  </w:footnote>
  <w:footnote w:type="continuationNotice" w:id="1">
    <w:p w14:paraId="7AD2C5D4" w14:textId="77777777" w:rsidR="00EC6ADF" w:rsidRDefault="00EC6A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7FF5" w14:textId="36CF41AB" w:rsidR="005F446B" w:rsidRDefault="00CB427C" w:rsidP="00A918B4">
    <w:r>
      <w:rPr>
        <w:noProof/>
      </w:rPr>
      <w:drawing>
        <wp:anchor distT="0" distB="0" distL="114300" distR="114300" simplePos="0" relativeHeight="251660290" behindDoc="1" locked="0" layoutInCell="1" allowOverlap="1" wp14:anchorId="2C9F1877" wp14:editId="48171DC7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1181100" cy="671940"/>
          <wp:effectExtent l="0" t="0" r="0" b="0"/>
          <wp:wrapNone/>
          <wp:docPr id="108894038" name="Picture 1" descr="A logo with a person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94038" name="Picture 1" descr="A logo with a person in the midd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-850327697"/>
        <w:docPartObj>
          <w:docPartGallery w:val="Page Numbers (Margins)"/>
          <w:docPartUnique/>
        </w:docPartObj>
      </w:sdtPr>
      <w:sdtEndPr/>
      <w:sdtContent>
        <w:r w:rsidR="00A918B4"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0" allowOverlap="1" wp14:anchorId="3DE98430" wp14:editId="264385DE">
                  <wp:simplePos x="0" y="0"/>
                  <wp:positionH relativeFrom="rightMargin">
                    <wp:posOffset>109183</wp:posOffset>
                  </wp:positionH>
                  <wp:positionV relativeFrom="margin">
                    <wp:posOffset>6318912</wp:posOffset>
                  </wp:positionV>
                  <wp:extent cx="614652" cy="1910175"/>
                  <wp:effectExtent l="0" t="0" r="0" b="0"/>
                  <wp:wrapNone/>
                  <wp:docPr id="779227305" name="Rectangle 779227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4652" cy="191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1008D" w14:textId="77777777" w:rsidR="00A918B4" w:rsidRDefault="00A918B4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DE98430" id="Rectangle 779227305" o:spid="_x0000_s1026" style="position:absolute;margin-left:8.6pt;margin-top:497.55pt;width:48.4pt;height:150.4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" o:allowincell="f" filled="f" stroked="f">
                  <v:textbox style="layout-flow:vertical;mso-layout-flow-alt:bottom-to-top">
                    <w:txbxContent>
                      <w:p w14:paraId="4281008D" w14:textId="77777777" w:rsidR="00A918B4" w:rsidRDefault="00A918B4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0CD991A0" w14:textId="6BC90F4A" w:rsidR="002C59C5" w:rsidRPr="005F446B" w:rsidRDefault="00A918B4" w:rsidP="005F446B">
    <w:pPr>
      <w:pStyle w:val="Header"/>
    </w:pPr>
    <w:r w:rsidRPr="00A918B4">
      <w:rPr>
        <w:noProof/>
        <w:highlight w:val="yellow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7F769B1" wp14:editId="48BF3411">
              <wp:simplePos x="0" y="0"/>
              <wp:positionH relativeFrom="column">
                <wp:posOffset>-4176395</wp:posOffset>
              </wp:positionH>
              <wp:positionV relativeFrom="paragraph">
                <wp:posOffset>2731135</wp:posOffset>
              </wp:positionV>
              <wp:extent cx="7391400" cy="623570"/>
              <wp:effectExtent l="0" t="6985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391400" cy="623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FE71E2" w14:textId="7E7FFEE2" w:rsidR="00A918B4" w:rsidRDefault="00646D09" w:rsidP="00A918B4">
                          <w:pPr>
                            <w:pStyle w:val="Heading1"/>
                          </w:pPr>
                          <w:r>
                            <w:t xml:space="preserve">POL04 Refunds </w:t>
                          </w:r>
                          <w:r w:rsidR="00A918B4">
                            <w:t>Policy and Procedure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769B1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-328.85pt;margin-top:215.05pt;width:582pt;height:49.1pt;rotation:-90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" stroked="f">
              <v:textbox>
                <w:txbxContent>
                  <w:p w14:paraId="5EFE71E2" w14:textId="7E7FFEE2" w:rsidR="00A918B4" w:rsidRDefault="00646D09" w:rsidP="00A918B4">
                    <w:pPr>
                      <w:pStyle w:val="Heading1"/>
                    </w:pPr>
                    <w:r>
                      <w:t xml:space="preserve">POL04 Refunds </w:t>
                    </w:r>
                    <w:r w:rsidR="00A918B4">
                      <w:t>Policy and Procedure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D6D"/>
    <w:multiLevelType w:val="hybridMultilevel"/>
    <w:tmpl w:val="ECEEEA1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93A6D"/>
    <w:multiLevelType w:val="hybridMultilevel"/>
    <w:tmpl w:val="73A648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68A0"/>
    <w:multiLevelType w:val="hybridMultilevel"/>
    <w:tmpl w:val="8982B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23589"/>
    <w:multiLevelType w:val="hybridMultilevel"/>
    <w:tmpl w:val="0C7A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30022"/>
    <w:multiLevelType w:val="hybridMultilevel"/>
    <w:tmpl w:val="EC589EC8"/>
    <w:lvl w:ilvl="0" w:tplc="F9A020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E0E97"/>
    <w:multiLevelType w:val="hybridMultilevel"/>
    <w:tmpl w:val="94F625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C5E4A"/>
    <w:multiLevelType w:val="hybridMultilevel"/>
    <w:tmpl w:val="9B989D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668D9"/>
    <w:multiLevelType w:val="hybridMultilevel"/>
    <w:tmpl w:val="9774BBA0"/>
    <w:lvl w:ilvl="0" w:tplc="8BA848B4">
      <w:start w:val="1"/>
      <w:numFmt w:val="upperLetter"/>
      <w:lvlText w:val="%1."/>
      <w:lvlJc w:val="left"/>
      <w:pPr>
        <w:ind w:left="360" w:hanging="360"/>
      </w:pPr>
      <w:rPr>
        <w:rFonts w:ascii="Sitka Text" w:eastAsiaTheme="minorHAnsi" w:hAnsi="Sitka Text" w:cstheme="minorBidi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67121"/>
    <w:multiLevelType w:val="hybridMultilevel"/>
    <w:tmpl w:val="EB3E6A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Sitka Text" w:eastAsiaTheme="minorHAnsi" w:hAnsi="Sitka Text" w:cstheme="minorBidi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A555B"/>
    <w:multiLevelType w:val="hybridMultilevel"/>
    <w:tmpl w:val="57BE9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961D3"/>
    <w:multiLevelType w:val="hybridMultilevel"/>
    <w:tmpl w:val="73A648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774BB"/>
    <w:multiLevelType w:val="hybridMultilevel"/>
    <w:tmpl w:val="0F5E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82324"/>
    <w:multiLevelType w:val="hybridMultilevel"/>
    <w:tmpl w:val="8B887D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B4A3A"/>
    <w:multiLevelType w:val="hybridMultilevel"/>
    <w:tmpl w:val="E3829AB8"/>
    <w:lvl w:ilvl="0" w:tplc="EE6AFC7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036AB"/>
    <w:multiLevelType w:val="hybridMultilevel"/>
    <w:tmpl w:val="19F0958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700787">
    <w:abstractNumId w:val="3"/>
  </w:num>
  <w:num w:numId="2" w16cid:durableId="1142113899">
    <w:abstractNumId w:val="11"/>
  </w:num>
  <w:num w:numId="3" w16cid:durableId="545604221">
    <w:abstractNumId w:val="13"/>
  </w:num>
  <w:num w:numId="4" w16cid:durableId="551961411">
    <w:abstractNumId w:val="7"/>
  </w:num>
  <w:num w:numId="5" w16cid:durableId="421996261">
    <w:abstractNumId w:val="10"/>
  </w:num>
  <w:num w:numId="6" w16cid:durableId="2030639141">
    <w:abstractNumId w:val="4"/>
  </w:num>
  <w:num w:numId="7" w16cid:durableId="721751833">
    <w:abstractNumId w:val="1"/>
  </w:num>
  <w:num w:numId="8" w16cid:durableId="915822650">
    <w:abstractNumId w:val="12"/>
  </w:num>
  <w:num w:numId="9" w16cid:durableId="163983368">
    <w:abstractNumId w:val="6"/>
  </w:num>
  <w:num w:numId="10" w16cid:durableId="363100417">
    <w:abstractNumId w:val="14"/>
  </w:num>
  <w:num w:numId="11" w16cid:durableId="712970345">
    <w:abstractNumId w:val="5"/>
  </w:num>
  <w:num w:numId="12" w16cid:durableId="1479154937">
    <w:abstractNumId w:val="9"/>
  </w:num>
  <w:num w:numId="13" w16cid:durableId="1359812458">
    <w:abstractNumId w:val="8"/>
  </w:num>
  <w:num w:numId="14" w16cid:durableId="664239015">
    <w:abstractNumId w:val="0"/>
  </w:num>
  <w:num w:numId="15" w16cid:durableId="546378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C5"/>
    <w:rsid w:val="00033E2B"/>
    <w:rsid w:val="000A0D08"/>
    <w:rsid w:val="000A35E5"/>
    <w:rsid w:val="000B7348"/>
    <w:rsid w:val="000C69DE"/>
    <w:rsid w:val="001712EC"/>
    <w:rsid w:val="001729BB"/>
    <w:rsid w:val="00192002"/>
    <w:rsid w:val="001945C6"/>
    <w:rsid w:val="001C6A40"/>
    <w:rsid w:val="001F2E48"/>
    <w:rsid w:val="00203703"/>
    <w:rsid w:val="0024267B"/>
    <w:rsid w:val="0027466C"/>
    <w:rsid w:val="002C59C5"/>
    <w:rsid w:val="002E3EB3"/>
    <w:rsid w:val="00303EB9"/>
    <w:rsid w:val="00371588"/>
    <w:rsid w:val="00397E55"/>
    <w:rsid w:val="004009FE"/>
    <w:rsid w:val="004205E0"/>
    <w:rsid w:val="00423862"/>
    <w:rsid w:val="0046021D"/>
    <w:rsid w:val="00482975"/>
    <w:rsid w:val="004F3FE8"/>
    <w:rsid w:val="004F666E"/>
    <w:rsid w:val="0050641B"/>
    <w:rsid w:val="00534E20"/>
    <w:rsid w:val="005364BE"/>
    <w:rsid w:val="0054015D"/>
    <w:rsid w:val="00547695"/>
    <w:rsid w:val="005744AD"/>
    <w:rsid w:val="00594B3C"/>
    <w:rsid w:val="005C6DA9"/>
    <w:rsid w:val="005F446B"/>
    <w:rsid w:val="005F6999"/>
    <w:rsid w:val="00631367"/>
    <w:rsid w:val="0063638A"/>
    <w:rsid w:val="00646D09"/>
    <w:rsid w:val="00663E4E"/>
    <w:rsid w:val="006D7907"/>
    <w:rsid w:val="006E6B57"/>
    <w:rsid w:val="006F706F"/>
    <w:rsid w:val="0072343C"/>
    <w:rsid w:val="00750FDC"/>
    <w:rsid w:val="007D125B"/>
    <w:rsid w:val="008002F1"/>
    <w:rsid w:val="00824BD7"/>
    <w:rsid w:val="00885A0A"/>
    <w:rsid w:val="008A30A0"/>
    <w:rsid w:val="008D3908"/>
    <w:rsid w:val="00923ED1"/>
    <w:rsid w:val="00982DE9"/>
    <w:rsid w:val="00996E36"/>
    <w:rsid w:val="00A507FA"/>
    <w:rsid w:val="00A918B4"/>
    <w:rsid w:val="00AB0255"/>
    <w:rsid w:val="00AB1E13"/>
    <w:rsid w:val="00AF5887"/>
    <w:rsid w:val="00B32F76"/>
    <w:rsid w:val="00B33F36"/>
    <w:rsid w:val="00BA2A4D"/>
    <w:rsid w:val="00BE4D42"/>
    <w:rsid w:val="00BF175A"/>
    <w:rsid w:val="00C63172"/>
    <w:rsid w:val="00C8396D"/>
    <w:rsid w:val="00CB427C"/>
    <w:rsid w:val="00CB7542"/>
    <w:rsid w:val="00CC7D2B"/>
    <w:rsid w:val="00D3097B"/>
    <w:rsid w:val="00D636B8"/>
    <w:rsid w:val="00D83913"/>
    <w:rsid w:val="00DA28BB"/>
    <w:rsid w:val="00DC6E77"/>
    <w:rsid w:val="00E072EF"/>
    <w:rsid w:val="00E549CB"/>
    <w:rsid w:val="00EB4762"/>
    <w:rsid w:val="00EC6ADF"/>
    <w:rsid w:val="00F0101D"/>
    <w:rsid w:val="00F22794"/>
    <w:rsid w:val="00F47044"/>
    <w:rsid w:val="00F54E69"/>
    <w:rsid w:val="00FA4E40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A7B96"/>
  <w15:chartTrackingRefBased/>
  <w15:docId w15:val="{95137180-B3FE-4439-8757-5C725E53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&amp;B Body Text"/>
    <w:qFormat/>
    <w:rsid w:val="002C59C5"/>
    <w:rPr>
      <w:rFonts w:ascii="Sitka Text" w:hAnsi="Sitka Text"/>
    </w:rPr>
  </w:style>
  <w:style w:type="paragraph" w:styleId="Heading1">
    <w:name w:val="heading 1"/>
    <w:aliases w:val="B&amp;B Major Heading"/>
    <w:basedOn w:val="Normal"/>
    <w:next w:val="Normal"/>
    <w:link w:val="Heading1Char"/>
    <w:uiPriority w:val="9"/>
    <w:qFormat/>
    <w:rsid w:val="00482975"/>
    <w:pPr>
      <w:keepNext/>
      <w:keepLines/>
      <w:spacing w:before="240" w:after="0"/>
      <w:outlineLvl w:val="0"/>
    </w:pPr>
    <w:rPr>
      <w:rFonts w:ascii="Sitka Heading" w:eastAsiaTheme="majorEastAsia" w:hAnsi="Sitka Heading" w:cstheme="majorBidi"/>
      <w:color w:val="339966"/>
      <w:sz w:val="36"/>
      <w:szCs w:val="32"/>
    </w:rPr>
  </w:style>
  <w:style w:type="paragraph" w:styleId="Heading2">
    <w:name w:val="heading 2"/>
    <w:aliases w:val="B&amp;B Subheading"/>
    <w:basedOn w:val="Normal"/>
    <w:next w:val="Normal"/>
    <w:link w:val="Heading2Char"/>
    <w:uiPriority w:val="9"/>
    <w:unhideWhenUsed/>
    <w:qFormat/>
    <w:rsid w:val="002C59C5"/>
    <w:pPr>
      <w:keepNext/>
      <w:keepLines/>
      <w:spacing w:before="40" w:after="0"/>
      <w:outlineLvl w:val="1"/>
    </w:pPr>
    <w:rPr>
      <w:rFonts w:ascii="Sitka Heading" w:eastAsiaTheme="majorEastAsia" w:hAnsi="Sitka Heading" w:cstheme="majorBidi"/>
      <w:color w:val="339966"/>
      <w:sz w:val="28"/>
      <w:szCs w:val="26"/>
    </w:rPr>
  </w:style>
  <w:style w:type="paragraph" w:styleId="Heading3">
    <w:name w:val="heading 3"/>
    <w:aliases w:val="B&amp;B Subtitle"/>
    <w:basedOn w:val="Normal"/>
    <w:next w:val="Normal"/>
    <w:link w:val="Heading3Char"/>
    <w:uiPriority w:val="9"/>
    <w:unhideWhenUsed/>
    <w:qFormat/>
    <w:rsid w:val="002C59C5"/>
    <w:pPr>
      <w:keepNext/>
      <w:keepLines/>
      <w:spacing w:before="40" w:after="0"/>
      <w:outlineLvl w:val="2"/>
    </w:pPr>
    <w:rPr>
      <w:rFonts w:ascii="Sitka Subheading" w:eastAsiaTheme="majorEastAsia" w:hAnsi="Sitka Subheading" w:cstheme="majorBidi"/>
      <w:color w:val="3399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9C5"/>
  </w:style>
  <w:style w:type="paragraph" w:styleId="Footer">
    <w:name w:val="footer"/>
    <w:basedOn w:val="Normal"/>
    <w:link w:val="FooterChar"/>
    <w:uiPriority w:val="99"/>
    <w:unhideWhenUsed/>
    <w:rsid w:val="002C5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9C5"/>
  </w:style>
  <w:style w:type="paragraph" w:styleId="NoSpacing">
    <w:name w:val="No Spacing"/>
    <w:uiPriority w:val="1"/>
    <w:rsid w:val="002C59C5"/>
    <w:pPr>
      <w:spacing w:after="0" w:line="240" w:lineRule="auto"/>
    </w:pPr>
    <w:rPr>
      <w:rFonts w:ascii="Sitka Text" w:hAnsi="Sitka Text"/>
    </w:rPr>
  </w:style>
  <w:style w:type="character" w:customStyle="1" w:styleId="Heading1Char">
    <w:name w:val="Heading 1 Char"/>
    <w:aliases w:val="B&amp;B Major Heading Char"/>
    <w:basedOn w:val="DefaultParagraphFont"/>
    <w:link w:val="Heading1"/>
    <w:uiPriority w:val="9"/>
    <w:rsid w:val="00482975"/>
    <w:rPr>
      <w:rFonts w:ascii="Sitka Heading" w:eastAsiaTheme="majorEastAsia" w:hAnsi="Sitka Heading" w:cstheme="majorBidi"/>
      <w:color w:val="339966"/>
      <w:sz w:val="36"/>
      <w:szCs w:val="32"/>
    </w:rPr>
  </w:style>
  <w:style w:type="character" w:customStyle="1" w:styleId="Heading2Char">
    <w:name w:val="Heading 2 Char"/>
    <w:aliases w:val="B&amp;B Subheading Char"/>
    <w:basedOn w:val="DefaultParagraphFont"/>
    <w:link w:val="Heading2"/>
    <w:uiPriority w:val="9"/>
    <w:rsid w:val="002C59C5"/>
    <w:rPr>
      <w:rFonts w:ascii="Sitka Heading" w:eastAsiaTheme="majorEastAsia" w:hAnsi="Sitka Heading" w:cstheme="majorBidi"/>
      <w:color w:val="339966"/>
      <w:sz w:val="28"/>
      <w:szCs w:val="26"/>
    </w:rPr>
  </w:style>
  <w:style w:type="character" w:customStyle="1" w:styleId="Heading3Char">
    <w:name w:val="Heading 3 Char"/>
    <w:aliases w:val="B&amp;B Subtitle Char"/>
    <w:basedOn w:val="DefaultParagraphFont"/>
    <w:link w:val="Heading3"/>
    <w:uiPriority w:val="9"/>
    <w:rsid w:val="002C59C5"/>
    <w:rPr>
      <w:rFonts w:ascii="Sitka Subheading" w:eastAsiaTheme="majorEastAsia" w:hAnsi="Sitka Subheading" w:cstheme="majorBidi"/>
      <w:color w:val="339966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rsid w:val="002C59C5"/>
    <w:pPr>
      <w:spacing w:before="200"/>
      <w:ind w:left="864" w:right="864"/>
      <w:jc w:val="center"/>
    </w:pPr>
    <w:rPr>
      <w:i/>
      <w:iCs/>
      <w:color w:val="339966"/>
    </w:rPr>
  </w:style>
  <w:style w:type="character" w:customStyle="1" w:styleId="QuoteChar">
    <w:name w:val="Quote Char"/>
    <w:basedOn w:val="DefaultParagraphFont"/>
    <w:link w:val="Quote"/>
    <w:uiPriority w:val="29"/>
    <w:rsid w:val="002C59C5"/>
    <w:rPr>
      <w:rFonts w:ascii="Sitka Text" w:hAnsi="Sitka Text"/>
      <w:i/>
      <w:iCs/>
      <w:color w:val="339966"/>
    </w:rPr>
  </w:style>
  <w:style w:type="paragraph" w:styleId="ListParagraph">
    <w:name w:val="List Paragraph"/>
    <w:aliases w:val="B&amp;B Bullet"/>
    <w:basedOn w:val="Normal"/>
    <w:uiPriority w:val="34"/>
    <w:qFormat/>
    <w:rsid w:val="002C59C5"/>
    <w:pPr>
      <w:numPr>
        <w:numId w:val="3"/>
      </w:numPr>
      <w:contextualSpacing/>
    </w:pPr>
    <w:rPr>
      <w:lang w:val="en-AU"/>
    </w:rPr>
  </w:style>
  <w:style w:type="table" w:styleId="TableGrid">
    <w:name w:val="Table Grid"/>
    <w:basedOn w:val="TableNormal"/>
    <w:uiPriority w:val="39"/>
    <w:rsid w:val="00DC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C6E7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6E7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DC6E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6">
    <w:name w:val="Grid Table 2 Accent 6"/>
    <w:basedOn w:val="TableNormal"/>
    <w:uiPriority w:val="47"/>
    <w:rsid w:val="00DC6E7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DC6E7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6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rsid w:val="00DC6E7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DC6E7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6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DC6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6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IntenseQuote">
    <w:name w:val="Intense Quote"/>
    <w:aliases w:val="B&amp;B Quote"/>
    <w:basedOn w:val="Normal"/>
    <w:next w:val="Normal"/>
    <w:link w:val="IntenseQuoteChar"/>
    <w:uiPriority w:val="30"/>
    <w:qFormat/>
    <w:rsid w:val="00DC6E77"/>
    <w:pPr>
      <w:pBdr>
        <w:top w:val="single" w:sz="4" w:space="10" w:color="339966"/>
        <w:bottom w:val="single" w:sz="4" w:space="10" w:color="339966"/>
      </w:pBdr>
      <w:spacing w:before="360" w:after="360"/>
      <w:ind w:left="864" w:right="864"/>
      <w:jc w:val="center"/>
    </w:pPr>
    <w:rPr>
      <w:i/>
      <w:iCs/>
      <w:color w:val="339966"/>
    </w:rPr>
  </w:style>
  <w:style w:type="character" w:customStyle="1" w:styleId="IntenseQuoteChar">
    <w:name w:val="Intense Quote Char"/>
    <w:aliases w:val="B&amp;B Quote Char"/>
    <w:basedOn w:val="DefaultParagraphFont"/>
    <w:link w:val="IntenseQuote"/>
    <w:uiPriority w:val="30"/>
    <w:rsid w:val="00DC6E77"/>
    <w:rPr>
      <w:rFonts w:ascii="Sitka Text" w:hAnsi="Sitka Text"/>
      <w:i/>
      <w:iCs/>
      <w:color w:val="339966"/>
    </w:rPr>
  </w:style>
  <w:style w:type="table" w:styleId="GridTable1Light-Accent6">
    <w:name w:val="Grid Table 1 Light Accent 6"/>
    <w:basedOn w:val="TableNormal"/>
    <w:uiPriority w:val="46"/>
    <w:rsid w:val="00885A0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3">
    <w:name w:val="Grid Table 6 Colorful Accent 3"/>
    <w:basedOn w:val="TableNormal"/>
    <w:uiPriority w:val="51"/>
    <w:rsid w:val="001945C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3">
    <w:name w:val="Grid Table 1 Light Accent 3"/>
    <w:basedOn w:val="TableNormal"/>
    <w:uiPriority w:val="46"/>
    <w:rsid w:val="00D3097B"/>
    <w:pPr>
      <w:spacing w:after="0" w:line="240" w:lineRule="auto"/>
    </w:pPr>
    <w:rPr>
      <w:rFonts w:cstheme="minorHAnsi"/>
      <w:kern w:val="2"/>
      <w:lang w:val="en-AU"/>
      <w14:ligatures w14:val="standardContextual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DA28BB"/>
    <w:pPr>
      <w:outlineLvl w:val="9"/>
    </w:pPr>
    <w:rPr>
      <w:rFonts w:asciiTheme="majorHAnsi" w:hAnsiTheme="majorHAnsi"/>
      <w:color w:val="2F5496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DA28B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A28B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A28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3641-24EF-42A1-A165-4ED7E035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Blood</dc:creator>
  <cp:keywords/>
  <dc:description/>
  <cp:lastModifiedBy>Adrian Blood</cp:lastModifiedBy>
  <cp:revision>70</cp:revision>
  <dcterms:created xsi:type="dcterms:W3CDTF">2018-10-16T21:09:00Z</dcterms:created>
  <dcterms:modified xsi:type="dcterms:W3CDTF">2023-11-23T05:24:00Z</dcterms:modified>
</cp:coreProperties>
</file>